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и кредитор обратились в суд с заявлениями, объединёнными для совместного рассмотрения, о привлечении к субсидиарной ответственности по обязательствам должника Голубева Константина Александровича, Толкачева Константина Николаевича, Широких Марка Рудольфовича и общества с ограниченной ответственностью «ПСМО «Пирамида» (далее – общество «Пирамида»). Определением Арбитражного суда Челябинской области от 13.03.2020 заявления удовлетворены частично, к субсидиарной ответственности привлечены Широких М.Р., Толкачев К.Н. и общество «Пирамида» с солидарным взысканием 95 006 911 рублей 12 копеек. Постановлением Восемнадцатого арбитражного апелляционного суда от 30.07.2020 отменено определение суда первой инстанции от 13.03.2020, отказано в удовлетворении заявлений требований. Постановлением Арбитражного суда Уральского округа от 16.12.2020 отменены определение суда первой инстанции от 13.03.2020 и постановление Восемнадцатого арбитражного апелляционного суда от 30.07.2020, обособленный спор направлен на новое рассмотрение в суд первой инстанции. 2 При новом рассмотрении определением Арбитражного суда Челябинской области от 19.09.2022, оставленным без изменения постановлениями Восемнадцатого арбитражного апелляционного суда от 24.01.2023 и Арбитражного суда Уральского округа от 10.05.2023, с Широких М.Р. взыскано 356 583 рубля 93 копейки убытков; отказано в удовлетворении остальной части требований. В кассационной жалобе, поданной в Верховный Суд Российской Федерации, заявитель просит отменить названные судебные акты. Исходя из содержания настоящей жалобы, заявитель не согласен с названными судебными актами в части отказа в удовлетворении требований.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положениями статей 15 и 199 Гражданского кодекса Российской Федерации, статьи 10 Федерального закона от 26.10.2002 № 127-ФЗ «О несостоятельности (банкротстве)» (в актуальной редакции), исходили из отсутствия причин для удовлетворения требований по заявленным основаниям, указав, в частности, на то, что Толкачев К.Н. и общество «Пирамида» не являются контролирующими должника лицами, на пропуск срока исковой давности по требованиям к остальным названным лицам, что является самостоятельным основанием для отказа в удовлетворении требований, а также, руководствуясь результатами судебной экспертизы об оценке рыночной стоимости непереданных в конкурсную массу 114 металлоформ, определили размер убытков, подлежащих возмещению Широких М.Р.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