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кассационных жалобах, поданных в Верховный Суд Российской Федерации, заявители, ссылаясь на нарушение судами норм материального и процессуального права, просят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действующего законодательства, регулирующего спорные правоотношения, суды отказали в удовлетворении иска, исходя 2 из отсутствия доказательств фактического выполнения истцом работ на испрашиваемую сумму.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кассационных жалоб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Костенюка Ивана Александровича и публичного акционерного общества «Мостотрест»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