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содержания судебных актов следует, что суды, частично удовлетворяя первоначальные и встречные исковые требования, всесторонне исследовали доказательства по делу, установили необходимые для разрешения спора обстоятельства, дали надлежащую правовую оценку доводам заявителя 2 со ссылкой на положения норм действующего законодательства применительно к установленным фактическим обстоятельствам дела.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«Научно-производственная компания «Эко-ПИРС»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