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23.11.2022, оставленным без изменения постановлением Девятого арбитражного апелляционного суда от 10.02.2023 и постановлением Арбитражного суда Московского округа от 11.05.2023, заявление удовлетворено частично. В кассационной жалобе Кайтмазов Т.В. просит об отмене судебных актов, ссылаясь неправильную оценку обстоятельств перечисления и игнорирование возврата спорной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 для недействительности платежей в силу пункта 2 статьи 61.2 Федерального закона от 26.10.2002 № 127 ФЗ «О несостоятельности (банкротстве)», требуемая заявителем переоценка которых не попадает под основания для кассационного пересмотра судебных актов. Доводы, приведенные в кассационной жалобе, являлись предметом рассмотрения судов и получили надлежащую правовую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Кайтмазову Тарасу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