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07.11.2022, оставленным без изменения постановлением Семнадцатого арбитражного апелляционного суда от 17.01.2023 и постановлением Арбитражного суда Уральского округа от 17.05.2023, в удовлетворении заявления отказано. В кассационных жалобах Георгадзе И.Л. и Георгадзе Т.П. просят об отмене судебных актов, ссылаясь на неполное исследование обстоятельств совершения оспариваемых сделок и неправомерный вывод о пропуске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по итогу исследования обстоятельств совершения сделок установили отсутствие условий для их недействительности по общегражданским основаниям. Приведенные в жалобах доводы об обстоятельствах заключения сделок и сроке исковой давности рассмотрены и оценены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Георгадзе Илье Людвиговичу и Георгадзе Татьяне Павловне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