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17.01.2023, оставленным без изменения постановлением Двенадцатого арбитражного апелляционного суда от 07.03.2023 и постановлением Арбитражного суда Поволжского округа от 06.06.2023, заявление кредитора признано обоснованным, в отношении должника введена процедура реструктуризации долгов, требование кредитора включено в третью очередь реестра, утвержден финансовый управляющий. В кассационной жалобе Иванов И.Г. просит об отмене судебных актов, ссылаясь на недоказанность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неисполненном судебном акте и соответствуют статьям 213.3, 213.5, 213.6, 213.13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Ивану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