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13.02.2023, оставленным без изменения постановлением Девятого арбитражного апелляционного суда от 04.05.2023 и постановлением Арбитражного суда Московского округа от 05.07.2023, производство по заявлению прекращено. В кассационной жалобе Сиражетдинов Ю.Р. просит об отмене судебных актов, ссылаясь на фактическое рассмотрение неподсудного арбитражному суду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кредитора о компетенции суда в отношении обязательств должника в процедурах банкротства противоречит пункту 2 статьи 213.11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Сиражетдинову Юрию Рафиковичу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