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16.01.2023, оставленным без изменения постановлением Арбитражного суда Волго- Вятского округа от 16.06.2023,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