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действующего законодательства, регулирующего спорные правоотношения, суды отказали в удовлетворении иска, исходя 2 из отсутствия доказательств поставки ответчиком товара ненадлежащего качества.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«Авто-Регион»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