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22.02.2023, оставленным без изменения постановлением Арбитражного суда Волго- Вятского округа от 16.06.2023,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