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20.02.2023, оставленным без изменения постановлением Арбитражного суда Волго- Вятского округа от 16.06.2023,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