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с кассационной жалобой в Верховный Суд Российской Федерации на указанный судебный акт, приложив ходатайство о восстановлении срока ее подачи. В соответствии с частью 1 статьи 291.2 Арбитражного процессуального кодекса Российской Федерации (далее - АПК РФ)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АПК РФ. Согласно части 2 статьи 291.2 АПК РФ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Рассмотрев заявленное ходатайство, судья пришел к выводу о наличии оснований для его удовлетворения, поскольку первоначально кассационная жалоба подана в установленные законом сроки, недостаток, послуживший основанием для ее возвращения, устранен, и заявителем не пропущен установленный законом предельный срок для обращения с ходатайством о восстановлении срока подачи кассационной жалобы. На основании изложенного, руководствуясь статьями 117, 184, 185, 291.2 АПК РФ,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Жариновой Светланы Геннадьевны о восстановлении пропущенного срока подачи кассационной жалобы на постановление Арбитражного суда Уральского округа от 22.06.2023 по делу № А71-10241/2022 удовлетворить, срок восстановить. Судья Верховного Суда Борисова Е. Е.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