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в электронном виде через систему «Мой арбитр» подана кассационная жалоба и ходатайство о зачете государственной пошлины.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Согласно пункту 6 статьи 33340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2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 или их надлежащим образом заверенные копии, необходимые для зачета государственной пошлины, заявителем в Верховный Суд Российской Федерации не представлены. В соответствии с пунктом 1 части 1 статьи 2915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3 На основании изложенного, руководствуясь статьями 104, 184, 2915 Арбитражного процессуального кодекса Российской Федерации, статьей 33340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акционерного общества «Кордиант» о зачете государственной пошлины отказать, кассационную жалобу возвратить заявителю. Судья Верховного Суда Д.В. Тютин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