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компания 31.08.2023 обратилась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Поскольку доводы, приведенные компанией в обоснование ходатайства о восстановлении пропущенного срока на подачу жалобы, подтверждены документально и признаны судом уважительными причинами пропуска срока, данное ходатайство подлежит удовлетворению на основании части 2 статьи 291.2 АПК РФ. Принимая во внимание изложенное и руководствуясь статьями 117, 291.2 АПК РФ,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иностранного лица The Coca-Cola Company о восстановлении пропущенного процессуального срока на подачу кассационной жалобы на решение Суда по интеллектуальным правам от 08.02.2023 и постановление президиума Суда по интеллектуальным правам от 30.06.2023 по делу № СИП-352/2022, срок восстановить. Судья Верховного Суда Борисова Е. Е.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