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09.11.2022, оставленным без изменения постановлением Седьмого арбитражного апелляционного суда от 09.12.2022, заявление удовлетворено, предложено в срок до 08.12.2022 произвести погашение требований по уплате обязательных платежей (ущерба, причиненного бюджету, обязательных налоговых платежей), включенных в реестр требований кредиторов должника. В кассационной жалобе ФИО1 просит об отмене судебных актов в части погашения материального ущерба, указывая на неправильное определение его правовой природы.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Отличное от судебного толкование статьи 129.1 Федерального закона от 26.10.2002 № 127-ФЗ «О несостоятельности (банкротстве)» не создает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России №16 по Алтайскому краю. (подробнее) ООО "Агросоюз" (подробнее) ООО "Траст" (подробнее) Иные лица: Ассоциация СРО арбитражных управляющих Центрального федерального округа " (подробнее) ООО "Альтернатива" (подробнее) СРО "Союз менеджеров и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