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Ярославской области от 20.02.2023, оставленным без изменения постановлением Второго арбитражного апелляционного суда от 28.03.2023 и постановлением Арбитражного суда Волго-Вятского округа от 30.06.2023, в восстановлении срока на подачу заявления о пересмотре судебного акта по вновь открывшимся обстоятельствам отказано, заявление возвращено. В кассационной жалобе общество «Спецторг Плюс» просит о пересмотре судебных актов, ссылаясь на отсутствие оценки причин пропуска срока на подачу заявления и соблюдения требований к форме и содержанию заявления.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оценили заявление как с точки зрения соблюдения срока на его подачу, так и соответствия заявленного обстоятельства критерию, необходимому в силу пункта 1 части 2 статьи 311 Арбитражного процессуального кодекса Российской Федерации для пересмотра решения по делу. Отличная от судебной оценка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«Спецторг Плюс»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