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суда. Определением Второго арбитражного апелляционного суда от 18.11.2022, оставленным без изменения постановлением Арбитражного суда Волго- Вятского округа от 02.06.2023,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