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Исследовав и оценив представленные в материалы дела доказательства, проанализировав редакции спорных условий договора, руководствуясь положениями гражданского законодательства и законодательства, регулирующего обращение с твердыми коммунальными отходами и порядок 2 их коммерческого учета объема и (или) массы, исходя из установленных фактических обстоятельств, суд апелляционной инстанции, с которым согласился суд округа, урегулировал возникшие разногласия в редакции, предложенной региональным оператором.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«Берег»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