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Липецкой области от 22.11.2022, оставленным без изменения постановлением Девятнадцатого арбитражного апелляционного суда от 07.02.2023 и постановлением Арбитражного суда Центрального округа от 01.06.2023, иск удовлетворен. В кассационной жалобе завод просит об отмене судебных актов, ссылаясь на отсутствие вины.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силу пункта 3 статьи 401 Гражданского кодекса Российской Федерации ответственность при осуществлении предпринимательской деятельности наступает независимо от вины, поэтому довод о ней не влияет на существо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«Лебедянский сахарный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