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кассационной жалобе, поданной в Верховный Суд Российской Федерации, заявитель, ссылаясь на нарушение судами норм материального права, просит пересмотреть в кассационном порядке указанные судебные акты в части удовлетворения встречного иска.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Принимая судебные акты в обжалуемой части, суды, исследовав и оценив представленные в материалы дела доказательства, руководствуясь положениями законодательства, регулирующего спорные правоотношения, 2 исходили из наличия оснований для применения к заявителю (исполнитель) меры ответственности в виде неустойки за просрочку исполнения договорных обязательств. Из содержания судебных актов следует, что суды всесторонне исследовали доказательства по делу, установили необходимые для разрешения спора обстоятельства и дали надлежащую правовую оценку доводам заявителя. Доводы кассационной жалобы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Определением Верховного Суда Российской Федерации от 24.07.2023 заявителю предоставлена отсрочка по уплате государственной пошлины при подаче кассационной жалобы до окончания кассационного производства. Поскольку производство по рассмотрению кассационной жалобы завершено, государственная пошлина с учетом положений статей 333.21, 333.22 Налогового кодекса Российской Федерации и статей 102, 110 Арбитражного процессуального кодекса Российской Федерации подлежит взысканию с заявителя в доход федерального бюджета. В силу части 2 статьи 319 Арбитражного процессуального кодекса Российской Федерации исполнительный лист подлежит выдаче Арбитражным судом Красноярского края.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«Агроспецстрой» для рассмотрения в судебном заседании Судебной коллегии по экономическим спорам Верховного Суда Российской Федерации. Взыскать с общества с ограниченной ответственностью «Агроспецстрой» в доход федерального бюджета 3000 (три тысячи) рублей государственной пошлины за подачу кассационной жалобы. Поручить Арбитражному суду Красноярского края выдать исполнительный лист на взыскание госпошлины.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