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26.12.2022 в удовлетворении заявления отказано. Третий арбитражный суд постановлением от 29.03.2023 отменил определение от 26.12.2022 и признал требование в размере 11 210 958 рублей 90 копеек мораторных процентов, начисленных за период с 19.01.2018 по 30.06.2019, обоснованным и подлежащим удовлетворению за счет имущества должника, оставшегося после удовлетворения включенных в реестр требований. Арбитражный суд Восточно-Сибирского округа постановлением от 06.06.2023 оставил без изменения постановление апелляционного суда от 29.03.2023. В кассационной жалобе Дьяков А.А. просит об отмене судебных актов апелляционного и окружного судов, ссылаясь на неисследование довода о прекращении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прекращении поручительства рассмотрен судами и является неосновательным в связи с установленным нахождением в реестре должника возникающего из поручительства требования, в связи с которым начисляются спорные проценты.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Дьякову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