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Изменяя решение суда первой инстанции, суд апелляционной инстанции, с которым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заключения сторонами договора на оказание услуг по организации питания, 2 оказания истцом спорных услуг ответчику и неисполнения им обязательства по их оплате, руководствуясь статьями 309, 310, 329, 330, 432, 779, 781 Гражданского кодекса Российской Федерации, пришел к выводу о наличии оснований для взыскания с ответчика испрашиваемой задолженности и неустойки с учетом исключения из расчета периода действия введенного государственными органами моратория.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Якимовой Ксении Леонидовны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