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Согласно пункту 2 статьи 33322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уплату в порядке, предусмотренном статьей 33341 названного Кодекса. Судом установлено,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размере, при этом обстоятельства, свидетельствующие о невозможности уплаты государственной пошлины при подаче кассационной жалобы, документально подтверждены. На основании изложенного, руководствуясь статьями 102, 184, 2913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«Производство, Строительство, Коммерция» удовлетворить, предоставить отсрочку уплаты государственной пошлины в размере 3 000 (три тысячи) рублей при подаче кассационной жалобы сроком до окончания производства по настоящей кассационной жалобе. Судья Верховного Суда Д.В. Тютин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