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26.12.2022, оставленным без изменения постановлением Тринадцатого арбитражного апелляционного суда от 02.03.2023 и постановлением Арбитражного суда Северо-Западного округа от 13.06.2023,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«Кронверк»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