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20.12.2022, оставленным без изменения постановлением Девятого арбитражного апелляционного суда от 09.02.2023, заявление удовлетворено. В кассационной жалобе банк просит о пересмотре судебных актов, ссылаясь на игнорирование судами отсутствия законных препятствий для ограничения исполнительского иммунитета в отношении жилого дома в целом.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установили, что в силу решения суда общей юрисдикции о разделе имущества должнику принадлежит 1/3 жилого дома. В рамках дела о банкротстве бывшей супруги должника (№ А40-174298/2017 Арбитражного суда города Москвы), за которой судом признано право на 2/3 жилого дома, отказано в объединении дел о банкротстве супругов (определение от 29.12.2020, вступившее в законную силу). В рамках обоих дел о банкротстве доли жилого дома признаны для каждого из должников единственным пригодным для проживания жильем. В такой ситуации в рассматриваемом споре суды правомерно исходили из возможности обсуждения кредиторами вопроса о замещении принадлежащей должнику доли, а не дома в целом. При рассмотрении вопроса о замещении доли должника суды руководствовались критериями для ограничения исполнительского иммунитета, определенными в постановлении Конституционного Суда Российской Федерации от 26.04.2021 № 15-П, признав ограничение нецелесообразным как не удовлетворяющее соотношению интересов кредиторов с жилищными правами должника и других долевых владельцев. Суды также учли отсутствие в приобретении прав на дом и поведении должника в процедурах банкротства признаваемых Конституционным Судом обстоятельств для снятия исполнительского иммунитета. Судебные акты соответствуют обстоятельствам, установленным применительно к процедурам банкротства должника, в связи с чем не подлежат пересмотру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«АКБ «Проминвестбанк»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