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29.11.2022, оставленным без изменения определением окружного суда от 02.06.2023,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