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суда. Определением Арбитражного суда Костромской области от 13.09.2022, оставленным без изменения постановлением Второго арбитражного апелляционного суда от 01.12.2022 и постановлением Арбитражного суда Волго-Вятского округа от 02.06.2023,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