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во Второй арбитражный апелляционный суд обратился должник с заявлением о принятии дополнительного постановления к постановлению апелляционного суда. Определением Второго арбитражного апелляционного суда от 01.12.2022, оставленным без изменения постановлением Арбитражного суда Волго- Вятского округа от 26.05.2023, в удовлетворении заявления должника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 при рассмотрении заявления должника о вынесении дополнительного постановления, что оно направлено на изменение содержания судебного акта, суд апелляционной инстанции отказал в его удовлетворении с учетом правового содержания статьи 178 Арбитражного процессуального кодекса Российской Федерации. Проверив в порядке статей 286, 287 Арбитражного процессуального кодекса Российской Федерации законность судебного акта, правильность применения норм процессуального права, окружной суд согласился с выводом суда апелляционной инстанции.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