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26.12.2022, оставленным без изменения постановлением Арбитражного суда Волго- Вятского округа от 24.05.2023,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