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29.11.2022, оставленным без изменения определением окружного суда от 26.05.2023,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