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Доводы заявителя не подтверждают существенных нарушений судом округа норм процессуального права, приведших к судебной ошибке существенного и непреодолимого характера при рассмотрении вопроса о принятии кассационной жалобы к производству,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2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Парамонова Евгения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