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Доводы заявителя не подтверждают существенных нарушений судом округа норм процессуального права, приведших к судебной ошибке существенного и непреодолимого характера при рассмотрении вопроса о принятии кассационной жалобы к производству,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2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Парамоновой Ольги Григорьевны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