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 ставится вопрос о ее передаче для рассмотрения в судебном заседании Судебной коллегии по экономическим спорам Верховного Суда Российской Федерации.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(статья 291.11 Арбитражного процессуального кодекса Российской Федерации). Доводы заявителя не подтверждают существенных нарушений судом округа норм процессуального права, приведших к судебной ошибке существенного и непреодолимого характера при рассмотрении вопроса о принятии кассационной жалобы к производству, и в силу статьи 291.6 Арбитражного процессуального кодекса Российской Федерации не являются 2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Парамоновой Ольги Григорьевны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