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действующего законодательства, регулирующего спорные правоотношения, суды отказали в удовлетворении иска, исходя 2 из отсутствия надлежащих доказательств выполнения истцом работ на испрашиваемую сумму.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Быченко Игоря Геннадьевича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