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Принимая обжалуемые судебные акты, суды, исследовав и оценив представленные в материалы дела доказательства, руководствуясь положениями гражданского законодательства и законодательства, регулирующего обращение с твердыми коммунальными отходами 2 (далее – ТКО) и порядок их коммерческого учета объема и (или) массы, исходили из подтвержденности факта оказания истцом ответчику в спорный период услуг по обращению с ТКО на условиях типового договора и их неоплаты последним.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потребительского общества «Верхотурский коопромхоз»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