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несоответствие выводов судов фактическим обстоятельствам дела и имеющимся в деле доказательствам,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Принимая обжалуемые судебные акты, суды, исследовав и оценив представленные в материалы дела доказательства, установив факт 2 неисполнения ответчиком обязательств по поставке товара и его монтажу, признав правомерным односторонний отказ истца от исполнения договора, руководствуясь положениями законодательства, регулирующего спорные правоотношения, пришли к выводу об отсутствии у ответчика оснований для удержания полученных от истца денежных средств и возникновении на его стороне неосновательного обогащения.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«Пространство Гласс»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