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Оставляя исковое заявление без рассмотрения, суды руководствовались положениями действующего законодательства и исходили из того, что заявленные требования подлежат рассмотрению в рамках дела о банкротстве ответчика. 2 Изложенные в кассационной жалобе доводы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«Автоколонна № 21»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