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Доводы заявителя не подтверждают существенных нарушений судом округа норм процессуального права, приведших к судебной ошибке существенного и непреодолимого характера при рассмотрении вопроса о принятии кассационной жалобы к производству, и в силу статьи 291.6 Арбитражного процессуального кодекса Российской Федерации не являются 2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Парамонова Евгения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