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Черновой Марины Викторовны в Арбитражный суд Московской области обратилась Тарабрина А.А. с заявлением о включении в реестр требований кредиторов должника задолженности в размере 2 729 555 рублей 45 копеек основного долга и 245 618 рублей 71 копейки процентов за пользование чужими денежными средствами. Определением Арбитражного суда Московской области от 07.11.2022 в удовлетворении заявления отказано. Постановлением Десятого арбитражного апелляционного суда от 20.01.2023 определение суда первой инстанции оставлено без изменения. Арбитражный суд Московского округа постановлением от 10.05.2023 указанные судебные акты оставил без изменения. Тарабрина А.А.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доказательств реальности взаимоотношений сторон, учитывая, что задолженность по исполнительным производствам погашена самим должником, финансовая возможность кредитора произвести оплату за должника не подтверждена, требование о включении в реестр требований кредиторов должника предъявлено в целях попытки создания искусственной кредиторской задолженности между аффилированными лицами.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