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2 регулирующего спорные правоотношения, исходили из недоказанности встречного предоставления ответчиком на сумму перечисленных истцом денежных средств.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правовую оценку доводам заявителя.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Малеева Михаила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