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18.11.2022, оставленным без изменения постановлением Арбитражного суда Волго-Вятского округа от 22.05.2023,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