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13.12.2021 завершена процедура реализации имущества гражданина ФИО2, должник освобожден от дальнейшего исполнения требований кредиторов, в том числе не заявленных при введении реализации имущества должника. Не согласившись с определением суда первой инстанции, ФИО1 обратилась с апелляционной жалобой в Десятый арбитражный апелляционный суд, заявив ходатайство о восстановлении пропущенного процессуального срока на подачу апелляционной жалобы. Определением Десятого арбитражного апелляционного суда от 27.04.2023 производство по апелляционной жалобе прекращено применительно к пункту 1 части 1 статьи 150 Арбитражного процессуального кодекса Российской Федерации. Арбитражный суд Московского округа постановлением от 28.06.2023 определение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 , 123 , 259 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уважительными, что явилось основанием для прекращения производства по жалобе. Кроме того, суд апелляционной инстанции пришел к выводу о том, что заявитель не обладает правом на обжалование судебного акта, поскольку не является лицом, участвующим в деле о банкротстве (конкурсным кредитором). Окружной суд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"Райффайзенбанк" (подробнее) Межрайонная инспекция Федеральной налоговой службы №13 по Московской области (подробнее) ПАО Банк ВТБ (подробнее) ПАО Московский банк Сбербанк (подробнее) ПАО РОСБАНК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