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28.11.2022, оставленным без изменения постановлением Девятого арбитражного апелляционного суда от 02.03.2023 и постановлением Арбитражного суда Московского округа от 22.05.20023, заявление удовлетворено. В кассационных жалобах заявители просят об отмене судебных актов, ссылаясь на неверную квалификацию действий должника как отказа от наследства, недобросовестность кредитора, нарушение имущественных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 не усматривается. Действия должника по невступлению в права наследования по закону в ситуации наличия долгов в силу пункта 2 статьи 61.2 Федерального закона от 26.10.2002 № 127-ФЗ «О несостоятельности (банкротстве)» попадают под недействительные, каковыми и признаны судами. Доводы, приведенные в кассационных жалобах, являлись предметом рассмотрения судов, получили правовую оценку и не создают оснований для пересмотра обжалуемых судебных актов в кассационном порядке Верховным Судом Российской Федерации. Отказ в пересмотре судебных актов исключает приостановление их исполнения, о котором ходатайствуют податели жалоб.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Царевой Екатерине Васильевне и Царевой Валентине Александровне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