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27.12.2022 требование в размере 39 702 072 рубля 29 копеек признано обоснованным и включено в третью очередь реестр. Постановлением Девятого арбитражного апелляционного суда от 13.03.2023 определение отменено, в удовлетворении заявления отказано. Постановлением Арбитражного суда Московского округа от 10.05.2023 постановление апелляционного суда отменено, определение суда первой инстанции оставлено в силе. В кассационной жалобе Трыкин Д.Г. просит об отмене определения и постановления окружного суда, ссылаясь на недоказанность условий для взыскания убытков, игнорирование преюдиции.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Исследованные обстоятельства суд первой инстанции признал создающими условия для возмещения убытков должником как руководителем кредитора и включения суммы убытков в реестр на основании статей 71, 100 Федерального закона от 26.10.2002 № 127-ФЗ «О несостоятельности (банкротстве)».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Трыкину Дмитрию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