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01.12.2022, оставленным без изменения постановлением Арбитражного суда Волго-Вятского округа от 19.05.2023,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