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31.10.2022, оставленным без изменения постановлением Тринадцатого арбитражного апелляционного суда от 16.02.2023 и постановлением Арбитражного суда Северо-Западного округа от 22.05.2023, в удовлетворении заявления отказано. В кассационной жалобе Громова С.Л. просит об отмене судебных актов, ссылаясь на возможность заявленного способа защиты и игнорирование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правах заявителя в связи с ведением в отношении должника процедур банкротства основаны на статьях 131, 213.11, 213.25, 213.27 Федерального закона от 26.10.2002 № 127-ФЗ «О несостоятельности (банкротстве)», пункте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Громовой Светлане Львовне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