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18.05.2022 заявление удовлетворено. Девятый арбитражный апелляционный суд постановлением от 09.10.2022 отменил определение от 18.05.2022 и отказал в удовлетворении заявления. Арбитражный суд Московского округа постановлением от 29.11.2022 отменил постановление апелляционного суда от 09.10.2022 и оставил в силе определение от 18.05.2022. В кассационной жалобе компания просит об отмене определения и постановления окружного суда ссылаясь на отсутствие условий для недействительности сделки на основании законодательства о банкротстве и доказательств ее совершения в отношении имущества должника, применение ненадлежащих последствий недействительности сделки.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установил, что собственником компании, единственным активом которой является спорное здание, является должник, и сделка по продаже акций компании представляет собой передачу должником взаимосвязанному лицу прав на здание во избежание обращения взыскания по долговым обязательствам кредиторов, признав эти обстоятельства создающими в том числе основания для недействительности сделки в силу статей 10 , 168 , 170 Гражданского кодекса Российской Федерации. Признанием за должником права собственности на здание суды установили фактически существовавшее до заключении сделки положение.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«Бейтла Менеджмент Лимитед»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"БУНЬКОВСКИЙ ЭКСПЕРИМЕНТАЛЬНЫЙ ЗАВОД" (подробнее) Банк ВТБ (подробнее) Банк ВТБ 24 (подробнее) ИФНС №33 по г. Москве (подробнее) К/у Калерина Н.М. (подробнее) ООО "Внешпромбанк" в лице к/у ГК "АСВ" (подробнее) ООО "Объединенная производственная компания" (подробнее) ООО "Самтэкс" (подробнее) Ф/у Беджамова Г.И. -Киреева Л.А. (подробнее) Иные лица: Ассоциация САМРО "Ассоциация антикризисных управляющих" (подробнее) ЗАО "Рузаевский Стекольный завод" (подробнее) ООО "Стекольная компания "Развитие" (подробнее) Отдел адресно-справочной работы и информационных ресурсов УФМС России по г.Москве (подробнее) ПАО ВТБ (подробнее) ПАО ВТБ-24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