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руководствуясь положениями действующего законодательства, регулирующего спорные правоотношения, суды пришли к выводу об отсутствии оснований 2 для удовлетворения иска, исходя из недоказанности истцом наличия на стороне ответчика испрашиваемой задолженности.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и дали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«ЮниСтрой»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