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25.10.2022, оставленным без изменения постановлением Девятого арбитражного апелляционного суда от 05.02.2023 и постановлением Арбитражного суда Московского округа от 03.05.2023, в удовлетворении заявления отказано. В кассационной жалобе Бабкин О.П. просит об отмене судебных актов, ссылаясь на неправильную оценку обстоятельств заключения договора и необоснованный отказ в проведении экспертизы.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непопадание оспариваемой сделки под подозрительные по законодательству о банкротстве и отсутствие условий для применения к ней статей 10, 168, 170 Гражданского кодекса Российской Федерации.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Бабкину О.П.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