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14.11.2022, оставленным без изменения постановлением Тринадцатого арбитражного апелляционного суда от 03.02.2023 и постановлением Арбитражного суда Северо-Западного округа от 07.06.2023, в удовлетворении жалобы отказано. В кассационной жалобе Марина А.Г. просит об отмене судебных актов, ссылаясь не непривлечение к рассмотрению жалобы и неправильную оценку обстоятельств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Доводу о непривлечении к рассмотрению жалобы дана основанная на части 6 статьи 121 Арбитражного процессуального кодекса Российской Федерации оценка. Суды установили отсутствие оснований и перспективы для оспаривания финансовым управляющим договора купли-продажи автомобиля, поэтому в соответствии со статьями 20.3, 60, 213.9 Федерального закона от 26.10.2002 № 127-ФЗ «О несостоятельности (банкротстве)» отказали в удовлетворении жалобы.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Мариной А.Г.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